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5D" w:rsidRPr="00857B0F" w:rsidRDefault="002A7A4D" w:rsidP="002A7A4D">
      <w:pPr>
        <w:jc w:val="center"/>
        <w:rPr>
          <w:b/>
        </w:rPr>
      </w:pPr>
      <w:r w:rsidRPr="00857B0F">
        <w:rPr>
          <w:b/>
        </w:rPr>
        <w:t>New Orleans College Prep</w:t>
      </w:r>
    </w:p>
    <w:p w:rsidR="002A7A4D" w:rsidRPr="00857B0F" w:rsidRDefault="002A7A4D" w:rsidP="002A7A4D">
      <w:pPr>
        <w:jc w:val="center"/>
        <w:rPr>
          <w:b/>
        </w:rPr>
      </w:pPr>
      <w:r w:rsidRPr="00857B0F">
        <w:rPr>
          <w:b/>
        </w:rPr>
        <w:t>CEO Evaluation – 2011-2012</w:t>
      </w:r>
    </w:p>
    <w:p w:rsidR="002A7A4D" w:rsidRPr="00857B0F" w:rsidRDefault="00857B0F" w:rsidP="002A7A4D">
      <w:pPr>
        <w:rPr>
          <w:b/>
          <w:u w:val="single"/>
        </w:rPr>
      </w:pPr>
      <w:r>
        <w:rPr>
          <w:b/>
          <w:u w:val="single"/>
        </w:rPr>
        <w:t xml:space="preserve">Evaluation </w:t>
      </w:r>
      <w:r w:rsidR="002A7A4D" w:rsidRPr="00857B0F">
        <w:rPr>
          <w:b/>
          <w:u w:val="single"/>
        </w:rPr>
        <w:t>Process:</w:t>
      </w:r>
    </w:p>
    <w:p w:rsidR="002A7A4D" w:rsidRDefault="002A7A4D" w:rsidP="002A7A4D">
      <w:pPr>
        <w:pStyle w:val="ListParagraph"/>
        <w:numPr>
          <w:ilvl w:val="0"/>
          <w:numId w:val="1"/>
        </w:numPr>
      </w:pPr>
      <w:r>
        <w:t xml:space="preserve">Hal will ensure The High Bar CEO evaluation survey is disseminated by May </w:t>
      </w:r>
      <w:r w:rsidR="00857B0F">
        <w:t>15,</w:t>
      </w:r>
      <w:r>
        <w:t xml:space="preserve"> 2012, with the results compiled before June 15, 2012.  The survey will be completed by all board members and direct reports, in addition to 1-2 randomly selected teache</w:t>
      </w:r>
      <w:bookmarkStart w:id="0" w:name="_GoBack"/>
      <w:bookmarkEnd w:id="0"/>
      <w:r>
        <w:t>rs at each of the 3 schools</w:t>
      </w:r>
    </w:p>
    <w:p w:rsidR="002A7A4D" w:rsidRDefault="002A7A4D" w:rsidP="002A7A4D">
      <w:pPr>
        <w:pStyle w:val="ListParagraph"/>
        <w:numPr>
          <w:ilvl w:val="0"/>
          <w:numId w:val="1"/>
        </w:numPr>
      </w:pPr>
      <w:r>
        <w:t>The board will meet at its June 27</w:t>
      </w:r>
      <w:r w:rsidRPr="002A7A4D">
        <w:rPr>
          <w:vertAlign w:val="superscript"/>
        </w:rPr>
        <w:t>th</w:t>
      </w:r>
      <w:r>
        <w:t>, 2012 to review and discuss the results of the organization’s actual performance to goals, and the results of The High Bar surveys.</w:t>
      </w:r>
    </w:p>
    <w:p w:rsidR="002A7A4D" w:rsidRDefault="002A7A4D" w:rsidP="002A7A4D">
      <w:pPr>
        <w:pStyle w:val="ListParagraph"/>
        <w:numPr>
          <w:ilvl w:val="0"/>
          <w:numId w:val="1"/>
        </w:numPr>
      </w:pPr>
      <w:r>
        <w:t>The Evaluation Committee (Hal + Kenneth) will write up a final summary of the board’s evaluation of the CEO and document it in the board’s files with the Secretary.</w:t>
      </w:r>
      <w:r w:rsidR="00857B0F">
        <w:t xml:space="preserve">  Deadline:  July 15, 2012.</w:t>
      </w:r>
    </w:p>
    <w:p w:rsidR="002A7A4D" w:rsidRPr="00857B0F" w:rsidRDefault="002A7A4D" w:rsidP="002A7A4D">
      <w:pPr>
        <w:rPr>
          <w:b/>
          <w:u w:val="single"/>
        </w:rPr>
      </w:pPr>
      <w:r w:rsidRPr="00857B0F">
        <w:rPr>
          <w:b/>
          <w:u w:val="single"/>
        </w:rPr>
        <w:t>CEO Goals for 2011-2012: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3192"/>
        <w:gridCol w:w="4908"/>
        <w:gridCol w:w="2430"/>
      </w:tblGrid>
      <w:tr w:rsidR="009D0E3F" w:rsidRPr="00857B0F" w:rsidTr="00857B0F">
        <w:tc>
          <w:tcPr>
            <w:tcW w:w="3192" w:type="dxa"/>
            <w:vAlign w:val="center"/>
          </w:tcPr>
          <w:p w:rsidR="009D0E3F" w:rsidRPr="00857B0F" w:rsidRDefault="009D0E3F" w:rsidP="00857B0F">
            <w:pPr>
              <w:jc w:val="center"/>
              <w:rPr>
                <w:b/>
              </w:rPr>
            </w:pPr>
            <w:r w:rsidRPr="00857B0F">
              <w:rPr>
                <w:b/>
              </w:rPr>
              <w:t>Goal</w:t>
            </w:r>
          </w:p>
        </w:tc>
        <w:tc>
          <w:tcPr>
            <w:tcW w:w="4908" w:type="dxa"/>
            <w:vAlign w:val="center"/>
          </w:tcPr>
          <w:p w:rsidR="009D0E3F" w:rsidRPr="00857B0F" w:rsidRDefault="009D0E3F" w:rsidP="00857B0F">
            <w:pPr>
              <w:jc w:val="center"/>
              <w:rPr>
                <w:b/>
              </w:rPr>
            </w:pPr>
            <w:r w:rsidRPr="00857B0F">
              <w:rPr>
                <w:b/>
              </w:rPr>
              <w:t>Metric</w:t>
            </w:r>
          </w:p>
        </w:tc>
        <w:tc>
          <w:tcPr>
            <w:tcW w:w="2430" w:type="dxa"/>
            <w:vAlign w:val="center"/>
          </w:tcPr>
          <w:p w:rsidR="009D0E3F" w:rsidRPr="00857B0F" w:rsidRDefault="009D0E3F" w:rsidP="00857B0F">
            <w:pPr>
              <w:jc w:val="center"/>
              <w:rPr>
                <w:b/>
              </w:rPr>
            </w:pPr>
            <w:r w:rsidRPr="00857B0F">
              <w:rPr>
                <w:b/>
              </w:rPr>
              <w:t>% of Bonus Allocation</w:t>
            </w:r>
          </w:p>
          <w:p w:rsidR="009D0E3F" w:rsidRPr="00857B0F" w:rsidRDefault="009D0E3F" w:rsidP="00857B0F">
            <w:pPr>
              <w:jc w:val="center"/>
              <w:rPr>
                <w:b/>
              </w:rPr>
            </w:pPr>
            <w:r w:rsidRPr="00857B0F">
              <w:rPr>
                <w:b/>
              </w:rPr>
              <w:t>(Total bonus potential = 10% of salary)</w:t>
            </w:r>
          </w:p>
        </w:tc>
      </w:tr>
      <w:tr w:rsidR="002A7A4D" w:rsidTr="00857B0F">
        <w:trPr>
          <w:trHeight w:val="1343"/>
        </w:trPr>
        <w:tc>
          <w:tcPr>
            <w:tcW w:w="3192" w:type="dxa"/>
            <w:vAlign w:val="center"/>
          </w:tcPr>
          <w:p w:rsidR="002A7A4D" w:rsidRDefault="009D0E3F" w:rsidP="00857B0F">
            <w:pPr>
              <w:jc w:val="center"/>
            </w:pPr>
            <w:r>
              <w:t>Assessment Index of at least 85</w:t>
            </w:r>
          </w:p>
        </w:tc>
        <w:tc>
          <w:tcPr>
            <w:tcW w:w="4908" w:type="dxa"/>
            <w:vAlign w:val="center"/>
          </w:tcPr>
          <w:p w:rsidR="002A7A4D" w:rsidRDefault="009D0E3F" w:rsidP="00857B0F">
            <w:pPr>
              <w:jc w:val="center"/>
            </w:pPr>
            <w:proofErr w:type="spellStart"/>
            <w:r>
              <w:t>iLEAP</w:t>
            </w:r>
            <w:proofErr w:type="spellEnd"/>
            <w:r>
              <w:t>, LEAP and EOC scores for grades 3-10</w:t>
            </w:r>
          </w:p>
        </w:tc>
        <w:tc>
          <w:tcPr>
            <w:tcW w:w="2430" w:type="dxa"/>
            <w:vAlign w:val="center"/>
          </w:tcPr>
          <w:p w:rsidR="002A7A4D" w:rsidRDefault="009D0E3F" w:rsidP="00857B0F">
            <w:pPr>
              <w:jc w:val="center"/>
            </w:pPr>
            <w:r>
              <w:t>50%</w:t>
            </w:r>
          </w:p>
        </w:tc>
      </w:tr>
      <w:tr w:rsidR="002A7A4D" w:rsidTr="00857B0F">
        <w:trPr>
          <w:trHeight w:val="1343"/>
        </w:trPr>
        <w:tc>
          <w:tcPr>
            <w:tcW w:w="3192" w:type="dxa"/>
            <w:vAlign w:val="center"/>
          </w:tcPr>
          <w:p w:rsidR="002A7A4D" w:rsidRDefault="009D0E3F" w:rsidP="00857B0F">
            <w:pPr>
              <w:jc w:val="center"/>
            </w:pPr>
            <w:r>
              <w:t>Student Attendance &gt; = 95%</w:t>
            </w:r>
          </w:p>
        </w:tc>
        <w:tc>
          <w:tcPr>
            <w:tcW w:w="4908" w:type="dxa"/>
            <w:vAlign w:val="center"/>
          </w:tcPr>
          <w:p w:rsidR="002A7A4D" w:rsidRDefault="009D0E3F" w:rsidP="00857B0F">
            <w:pPr>
              <w:jc w:val="center"/>
            </w:pPr>
            <w:r>
              <w:t>Average daily attendance for all three schools combined (cumulative for 2011-2012 school year)</w:t>
            </w:r>
          </w:p>
        </w:tc>
        <w:tc>
          <w:tcPr>
            <w:tcW w:w="2430" w:type="dxa"/>
            <w:vAlign w:val="center"/>
          </w:tcPr>
          <w:p w:rsidR="002A7A4D" w:rsidRDefault="009D0E3F" w:rsidP="00857B0F">
            <w:pPr>
              <w:jc w:val="center"/>
            </w:pPr>
            <w:r>
              <w:t>5%</w:t>
            </w:r>
          </w:p>
        </w:tc>
      </w:tr>
      <w:tr w:rsidR="002A7A4D" w:rsidTr="00857B0F">
        <w:trPr>
          <w:trHeight w:val="1343"/>
        </w:trPr>
        <w:tc>
          <w:tcPr>
            <w:tcW w:w="3192" w:type="dxa"/>
            <w:vAlign w:val="center"/>
          </w:tcPr>
          <w:p w:rsidR="002A7A4D" w:rsidRDefault="009D0E3F" w:rsidP="00857B0F">
            <w:pPr>
              <w:jc w:val="center"/>
            </w:pPr>
            <w:r>
              <w:t>Student Retention &gt; = 90%</w:t>
            </w:r>
          </w:p>
        </w:tc>
        <w:tc>
          <w:tcPr>
            <w:tcW w:w="4908" w:type="dxa"/>
            <w:vAlign w:val="center"/>
          </w:tcPr>
          <w:p w:rsidR="002A7A4D" w:rsidRDefault="009D0E3F" w:rsidP="00857B0F">
            <w:pPr>
              <w:jc w:val="center"/>
            </w:pPr>
            <w:r>
              <w:t>(# of active enrollees on June 6, 2012) / (Total # of enrollees on or after August 10, 2011)</w:t>
            </w:r>
          </w:p>
        </w:tc>
        <w:tc>
          <w:tcPr>
            <w:tcW w:w="2430" w:type="dxa"/>
            <w:vAlign w:val="center"/>
          </w:tcPr>
          <w:p w:rsidR="002A7A4D" w:rsidRDefault="009D0E3F" w:rsidP="00857B0F">
            <w:pPr>
              <w:jc w:val="center"/>
            </w:pPr>
            <w:r>
              <w:t>5%</w:t>
            </w:r>
          </w:p>
        </w:tc>
      </w:tr>
      <w:tr w:rsidR="009D0E3F" w:rsidTr="00857B0F">
        <w:trPr>
          <w:trHeight w:val="1343"/>
        </w:trPr>
        <w:tc>
          <w:tcPr>
            <w:tcW w:w="3192" w:type="dxa"/>
            <w:vAlign w:val="center"/>
          </w:tcPr>
          <w:p w:rsidR="009D0E3F" w:rsidRDefault="009D0E3F" w:rsidP="00857B0F">
            <w:pPr>
              <w:jc w:val="center"/>
            </w:pPr>
            <w:r>
              <w:t>Parent Satisfaction &gt; = 90%</w:t>
            </w:r>
          </w:p>
        </w:tc>
        <w:tc>
          <w:tcPr>
            <w:tcW w:w="4908" w:type="dxa"/>
            <w:vAlign w:val="center"/>
          </w:tcPr>
          <w:p w:rsidR="009D0E3F" w:rsidRDefault="009D0E3F" w:rsidP="00857B0F">
            <w:pPr>
              <w:jc w:val="center"/>
            </w:pPr>
            <w:r>
              <w:t>At least 90% of parents will report being “Satisfied” or “Highly Satisfied” on the Q4 parent survey, on average across all questions</w:t>
            </w:r>
          </w:p>
        </w:tc>
        <w:tc>
          <w:tcPr>
            <w:tcW w:w="2430" w:type="dxa"/>
            <w:vAlign w:val="center"/>
          </w:tcPr>
          <w:p w:rsidR="009D0E3F" w:rsidRDefault="009D0E3F" w:rsidP="00857B0F">
            <w:pPr>
              <w:jc w:val="center"/>
            </w:pPr>
            <w:r>
              <w:t>5%</w:t>
            </w:r>
          </w:p>
        </w:tc>
      </w:tr>
      <w:tr w:rsidR="009D0E3F" w:rsidTr="00857B0F">
        <w:trPr>
          <w:trHeight w:val="1343"/>
        </w:trPr>
        <w:tc>
          <w:tcPr>
            <w:tcW w:w="3192" w:type="dxa"/>
            <w:vAlign w:val="center"/>
          </w:tcPr>
          <w:p w:rsidR="009D0E3F" w:rsidRDefault="009D0E3F" w:rsidP="00857B0F">
            <w:pPr>
              <w:jc w:val="center"/>
            </w:pPr>
            <w:r>
              <w:t>Staff Retention &gt; = 90%</w:t>
            </w:r>
          </w:p>
        </w:tc>
        <w:tc>
          <w:tcPr>
            <w:tcW w:w="4908" w:type="dxa"/>
            <w:vAlign w:val="center"/>
          </w:tcPr>
          <w:p w:rsidR="009D0E3F" w:rsidRDefault="009D0E3F" w:rsidP="00857B0F">
            <w:pPr>
              <w:jc w:val="center"/>
            </w:pPr>
            <w:r>
              <w:t>(# of employees returning for the 2012-2013 school year) / (# of active employees on June 6, 2012)</w:t>
            </w:r>
          </w:p>
          <w:p w:rsidR="009D0E3F" w:rsidRDefault="009D0E3F" w:rsidP="00857B0F">
            <w:pPr>
              <w:jc w:val="center"/>
            </w:pPr>
          </w:p>
          <w:p w:rsidR="009D0E3F" w:rsidRDefault="009D0E3F" w:rsidP="00857B0F">
            <w:pPr>
              <w:jc w:val="center"/>
            </w:pPr>
            <w:r>
              <w:t>Note:  calculation will exclude employees who have been unwillingly terminated by NOCP management</w:t>
            </w:r>
          </w:p>
        </w:tc>
        <w:tc>
          <w:tcPr>
            <w:tcW w:w="2430" w:type="dxa"/>
            <w:vAlign w:val="center"/>
          </w:tcPr>
          <w:p w:rsidR="009D0E3F" w:rsidRDefault="009D0E3F" w:rsidP="00857B0F">
            <w:pPr>
              <w:jc w:val="center"/>
            </w:pPr>
            <w:r>
              <w:t>10%</w:t>
            </w:r>
          </w:p>
        </w:tc>
      </w:tr>
      <w:tr w:rsidR="009D0E3F" w:rsidTr="00857B0F">
        <w:trPr>
          <w:trHeight w:val="1343"/>
        </w:trPr>
        <w:tc>
          <w:tcPr>
            <w:tcW w:w="3192" w:type="dxa"/>
            <w:vAlign w:val="center"/>
          </w:tcPr>
          <w:p w:rsidR="009D0E3F" w:rsidRDefault="009D0E3F" w:rsidP="00857B0F">
            <w:pPr>
              <w:jc w:val="center"/>
            </w:pPr>
            <w:r>
              <w:t>On-Budget Performance + Clean Audit</w:t>
            </w:r>
          </w:p>
        </w:tc>
        <w:tc>
          <w:tcPr>
            <w:tcW w:w="4908" w:type="dxa"/>
            <w:vAlign w:val="center"/>
          </w:tcPr>
          <w:p w:rsidR="009D0E3F" w:rsidRDefault="009D0E3F" w:rsidP="00857B0F">
            <w:pPr>
              <w:jc w:val="center"/>
            </w:pPr>
            <w:r>
              <w:t>June 30,2012 financial statements reflect end-of-year surplus/deficit is on or better than budget</w:t>
            </w:r>
          </w:p>
          <w:p w:rsidR="009D0E3F" w:rsidRDefault="009D0E3F" w:rsidP="00857B0F">
            <w:pPr>
              <w:jc w:val="center"/>
            </w:pPr>
          </w:p>
          <w:p w:rsidR="009D0E3F" w:rsidRDefault="009D0E3F" w:rsidP="00857B0F">
            <w:pPr>
              <w:jc w:val="center"/>
            </w:pPr>
            <w:r>
              <w:t>2010-2011 Audit Report reflects unqualified opinion</w:t>
            </w:r>
          </w:p>
        </w:tc>
        <w:tc>
          <w:tcPr>
            <w:tcW w:w="2430" w:type="dxa"/>
            <w:vAlign w:val="center"/>
          </w:tcPr>
          <w:p w:rsidR="009D0E3F" w:rsidRDefault="009D0E3F" w:rsidP="00857B0F">
            <w:pPr>
              <w:jc w:val="center"/>
            </w:pPr>
            <w:r>
              <w:t>25%</w:t>
            </w:r>
          </w:p>
        </w:tc>
      </w:tr>
    </w:tbl>
    <w:p w:rsidR="002A7A4D" w:rsidRDefault="002A7A4D" w:rsidP="002A7A4D"/>
    <w:p w:rsidR="002A7A4D" w:rsidRDefault="002A7A4D" w:rsidP="002A7A4D"/>
    <w:sectPr w:rsidR="002A7A4D" w:rsidSect="00857B0F">
      <w:pgSz w:w="12240" w:h="15840"/>
      <w:pgMar w:top="54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422"/>
    <w:multiLevelType w:val="hybridMultilevel"/>
    <w:tmpl w:val="6C2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4D"/>
    <w:rsid w:val="002A7A4D"/>
    <w:rsid w:val="0038395D"/>
    <w:rsid w:val="00857B0F"/>
    <w:rsid w:val="009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4D"/>
    <w:pPr>
      <w:ind w:left="720"/>
      <w:contextualSpacing/>
    </w:pPr>
  </w:style>
  <w:style w:type="table" w:styleId="TableGrid">
    <w:name w:val="Table Grid"/>
    <w:basedOn w:val="TableNormal"/>
    <w:uiPriority w:val="59"/>
    <w:rsid w:val="002A7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4D"/>
    <w:pPr>
      <w:ind w:left="720"/>
      <w:contextualSpacing/>
    </w:pPr>
  </w:style>
  <w:style w:type="table" w:styleId="TableGrid">
    <w:name w:val="Table Grid"/>
    <w:basedOn w:val="TableNormal"/>
    <w:uiPriority w:val="59"/>
    <w:rsid w:val="002A7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Kleban</dc:creator>
  <cp:lastModifiedBy>Ben Kleban</cp:lastModifiedBy>
  <cp:revision>1</cp:revision>
  <dcterms:created xsi:type="dcterms:W3CDTF">2012-01-03T18:40:00Z</dcterms:created>
  <dcterms:modified xsi:type="dcterms:W3CDTF">2012-01-03T19:03:00Z</dcterms:modified>
</cp:coreProperties>
</file>